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687" w14:textId="77777777" w:rsidR="007A4A55" w:rsidRDefault="007A4A55" w:rsidP="00FB6062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noProof/>
          <w:sz w:val="28"/>
          <w:szCs w:val="24"/>
          <w:u w:val="single"/>
        </w:rPr>
        <w:drawing>
          <wp:inline distT="0" distB="0" distL="0" distR="0" wp14:anchorId="67FE6D74" wp14:editId="61A74366">
            <wp:extent cx="5007935" cy="5371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958" cy="5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1992" w14:textId="77777777" w:rsidR="007A4A55" w:rsidRDefault="007A4A55" w:rsidP="00FB6062">
      <w:pPr>
        <w:jc w:val="center"/>
        <w:rPr>
          <w:b/>
          <w:bCs/>
          <w:sz w:val="28"/>
          <w:szCs w:val="24"/>
          <w:u w:val="single"/>
        </w:rPr>
      </w:pPr>
    </w:p>
    <w:p w14:paraId="38472D49" w14:textId="682EC589" w:rsidR="00FB6062" w:rsidRDefault="00FB6062" w:rsidP="00FB6062">
      <w:pPr>
        <w:jc w:val="center"/>
        <w:rPr>
          <w:b/>
          <w:bCs/>
          <w:sz w:val="28"/>
          <w:szCs w:val="24"/>
          <w:u w:val="single"/>
        </w:rPr>
      </w:pPr>
      <w:r w:rsidRPr="00FB6062">
        <w:rPr>
          <w:b/>
          <w:bCs/>
          <w:sz w:val="28"/>
          <w:szCs w:val="24"/>
          <w:u w:val="single"/>
        </w:rPr>
        <w:t>Program Sustainability Plan</w:t>
      </w:r>
    </w:p>
    <w:p w14:paraId="3F8B649C" w14:textId="77777777" w:rsidR="00FB6062" w:rsidRPr="00FB6062" w:rsidRDefault="00FB6062" w:rsidP="00FB6062">
      <w:pPr>
        <w:jc w:val="center"/>
        <w:rPr>
          <w:b/>
          <w:bCs/>
          <w:sz w:val="28"/>
          <w:szCs w:val="24"/>
          <w:u w:val="single"/>
        </w:rPr>
      </w:pPr>
    </w:p>
    <w:p w14:paraId="763F253E" w14:textId="5A87795B" w:rsidR="00FE6C20" w:rsidRPr="00FB6062" w:rsidRDefault="00FB6062">
      <w:pPr>
        <w:rPr>
          <w:b/>
          <w:bCs/>
          <w:sz w:val="28"/>
          <w:szCs w:val="24"/>
        </w:rPr>
      </w:pPr>
      <w:r w:rsidRPr="00FB6062">
        <w:rPr>
          <w:b/>
          <w:bCs/>
          <w:sz w:val="28"/>
          <w:szCs w:val="24"/>
        </w:rPr>
        <w:t xml:space="preserve">How do </w:t>
      </w:r>
      <w:r>
        <w:rPr>
          <w:b/>
          <w:bCs/>
          <w:sz w:val="28"/>
          <w:szCs w:val="24"/>
        </w:rPr>
        <w:t xml:space="preserve">you </w:t>
      </w:r>
      <w:r w:rsidRPr="00FB6062">
        <w:rPr>
          <w:b/>
          <w:bCs/>
          <w:sz w:val="28"/>
          <w:szCs w:val="24"/>
        </w:rPr>
        <w:t>turn business metrics into “actionable data”</w:t>
      </w:r>
      <w:r>
        <w:rPr>
          <w:b/>
          <w:bCs/>
          <w:sz w:val="28"/>
          <w:szCs w:val="24"/>
        </w:rPr>
        <w:t>? This template provides a way to show the meaning of the metrics, how the organization is doing against best practices, and what possible actions can help improve performance</w:t>
      </w:r>
    </w:p>
    <w:p w14:paraId="522E1412" w14:textId="662E908C" w:rsidR="00FB6062" w:rsidRDefault="00FB6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013"/>
        <w:gridCol w:w="2916"/>
        <w:gridCol w:w="3505"/>
      </w:tblGrid>
      <w:tr w:rsidR="005B57CC" w:rsidRPr="00CC39C1" w14:paraId="04D4E1AC" w14:textId="77777777" w:rsidTr="00F27D80">
        <w:tc>
          <w:tcPr>
            <w:tcW w:w="3516" w:type="dxa"/>
            <w:shd w:val="clear" w:color="auto" w:fill="44546A" w:themeFill="text2"/>
          </w:tcPr>
          <w:p w14:paraId="576BC832" w14:textId="77777777" w:rsidR="005B57CC" w:rsidRPr="00CC39C1" w:rsidRDefault="005B57CC" w:rsidP="00FB6062">
            <w:pPr>
              <w:rPr>
                <w:color w:val="FFFFFF" w:themeColor="background1"/>
                <w:sz w:val="32"/>
              </w:rPr>
            </w:pPr>
            <w:r w:rsidRPr="00CC39C1">
              <w:rPr>
                <w:color w:val="FFFFFF" w:themeColor="background1"/>
                <w:sz w:val="32"/>
              </w:rPr>
              <w:t>Performance Metric</w:t>
            </w:r>
          </w:p>
        </w:tc>
        <w:tc>
          <w:tcPr>
            <w:tcW w:w="3013" w:type="dxa"/>
            <w:shd w:val="clear" w:color="auto" w:fill="44546A" w:themeFill="text2"/>
          </w:tcPr>
          <w:p w14:paraId="5CEC16EE" w14:textId="77777777" w:rsidR="005B57CC" w:rsidRPr="00CC39C1" w:rsidRDefault="005B57CC" w:rsidP="00FB6062">
            <w:p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Organizational Performance</w:t>
            </w:r>
          </w:p>
        </w:tc>
        <w:tc>
          <w:tcPr>
            <w:tcW w:w="2916" w:type="dxa"/>
            <w:shd w:val="clear" w:color="auto" w:fill="44546A" w:themeFill="text2"/>
          </w:tcPr>
          <w:p w14:paraId="68389076" w14:textId="77777777" w:rsidR="005B57CC" w:rsidRPr="00CC39C1" w:rsidRDefault="005B57CC" w:rsidP="00FB6062">
            <w:pPr>
              <w:rPr>
                <w:color w:val="FFFFFF" w:themeColor="background1"/>
                <w:sz w:val="32"/>
              </w:rPr>
            </w:pPr>
            <w:r w:rsidRPr="00CC39C1">
              <w:rPr>
                <w:color w:val="FFFFFF" w:themeColor="background1"/>
                <w:sz w:val="32"/>
              </w:rPr>
              <w:t>Best Practice/Target</w:t>
            </w:r>
          </w:p>
        </w:tc>
        <w:tc>
          <w:tcPr>
            <w:tcW w:w="3505" w:type="dxa"/>
            <w:shd w:val="clear" w:color="auto" w:fill="44546A" w:themeFill="text2"/>
          </w:tcPr>
          <w:p w14:paraId="5D0ADD33" w14:textId="77777777" w:rsidR="005B57CC" w:rsidRPr="00CC39C1" w:rsidRDefault="005B57CC" w:rsidP="00FB6062">
            <w:pPr>
              <w:rPr>
                <w:color w:val="FFFFFF" w:themeColor="background1"/>
                <w:sz w:val="32"/>
              </w:rPr>
            </w:pPr>
            <w:r w:rsidRPr="00CC39C1">
              <w:rPr>
                <w:color w:val="FFFFFF" w:themeColor="background1"/>
                <w:sz w:val="32"/>
              </w:rPr>
              <w:t>Action Steps</w:t>
            </w:r>
          </w:p>
        </w:tc>
      </w:tr>
      <w:tr w:rsidR="006616ED" w14:paraId="58B11B59" w14:textId="77777777" w:rsidTr="00F27D80">
        <w:tc>
          <w:tcPr>
            <w:tcW w:w="3516" w:type="dxa"/>
          </w:tcPr>
          <w:p w14:paraId="75E2256D" w14:textId="0A9A7329" w:rsidR="006616ED" w:rsidRDefault="006616ED" w:rsidP="00FB6062">
            <w:pPr>
              <w:rPr>
                <w:b/>
              </w:rPr>
            </w:pPr>
            <w:r w:rsidRPr="006616ED">
              <w:rPr>
                <w:b/>
                <w:sz w:val="28"/>
                <w:szCs w:val="24"/>
                <w:u w:val="single"/>
              </w:rPr>
              <w:t>Administrative Overhead</w:t>
            </w:r>
            <w:r w:rsidRPr="00CC39C1">
              <w:rPr>
                <w:b/>
              </w:rPr>
              <w:t>:</w:t>
            </w:r>
          </w:p>
          <w:p w14:paraId="326AE739" w14:textId="0D83EE54" w:rsidR="006616ED" w:rsidRDefault="006616ED" w:rsidP="00FB6062">
            <w:r>
              <w:t>What percentage of the personnel budget is spent on:</w:t>
            </w:r>
          </w:p>
          <w:p w14:paraId="195AC22B" w14:textId="77777777" w:rsidR="006616ED" w:rsidRDefault="006616ED" w:rsidP="00FB6062"/>
          <w:p w14:paraId="6ABA2CF4" w14:textId="77777777" w:rsidR="006616ED" w:rsidRDefault="006616ED" w:rsidP="00FB6062">
            <w:r w:rsidRPr="00F27D80">
              <w:rPr>
                <w:u w:val="single"/>
              </w:rPr>
              <w:t xml:space="preserve">Administrative staff </w:t>
            </w:r>
            <w:r>
              <w:t>– those who deal with operations/finance</w:t>
            </w:r>
          </w:p>
          <w:p w14:paraId="1F5B58C7" w14:textId="77777777" w:rsidR="006616ED" w:rsidRDefault="006616ED" w:rsidP="00FB6062">
            <w:r w:rsidRPr="00F27D80">
              <w:rPr>
                <w:u w:val="single"/>
              </w:rPr>
              <w:t>Support staff</w:t>
            </w:r>
            <w:r>
              <w:t xml:space="preserve"> – coaches, cooks, etc.</w:t>
            </w:r>
          </w:p>
          <w:p w14:paraId="0029EAA7" w14:textId="77777777" w:rsidR="006616ED" w:rsidRDefault="006616ED" w:rsidP="00FB6062">
            <w:r w:rsidRPr="00F27D80">
              <w:rPr>
                <w:u w:val="single"/>
              </w:rPr>
              <w:t>Direct teaching staff</w:t>
            </w:r>
            <w:r>
              <w:t xml:space="preserve"> – staff working in classrooms and counted in ratios</w:t>
            </w:r>
          </w:p>
          <w:p w14:paraId="21C0D9BA" w14:textId="77777777" w:rsidR="006616ED" w:rsidRDefault="006616ED" w:rsidP="006616ED">
            <w:r>
              <w:t>Rationale: The goal is to deploy the highest possible level of resources into classroom staff in order to attract and retain a well-qualified workforce</w:t>
            </w:r>
          </w:p>
          <w:p w14:paraId="7E6D7C93" w14:textId="77777777" w:rsidR="006616ED" w:rsidRDefault="006616ED" w:rsidP="006616ED"/>
          <w:p w14:paraId="7FC2AB4C" w14:textId="49510298" w:rsidR="006616ED" w:rsidRDefault="006616ED" w:rsidP="006616ED">
            <w:r w:rsidRPr="008522E2">
              <w:rPr>
                <w:b/>
              </w:rPr>
              <w:t>GOAL: Administrative Overhead not more than 20%</w:t>
            </w:r>
          </w:p>
        </w:tc>
        <w:tc>
          <w:tcPr>
            <w:tcW w:w="3013" w:type="dxa"/>
          </w:tcPr>
          <w:p w14:paraId="6A32879B" w14:textId="77777777" w:rsidR="006616ED" w:rsidRDefault="006616ED" w:rsidP="00FB606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E697C08" wp14:editId="2E378ADC">
                  <wp:simplePos x="0" y="0"/>
                  <wp:positionH relativeFrom="column">
                    <wp:posOffset>-103475</wp:posOffset>
                  </wp:positionH>
                  <wp:positionV relativeFrom="paragraph">
                    <wp:posOffset>463565</wp:posOffset>
                  </wp:positionV>
                  <wp:extent cx="1901771" cy="226473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74" cy="227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vAlign w:val="center"/>
          </w:tcPr>
          <w:p w14:paraId="29F46F34" w14:textId="3CCDC36A" w:rsidR="006616ED" w:rsidRDefault="006616ED" w:rsidP="00F27D80">
            <w:r>
              <w:t>Administrative – 20%</w:t>
            </w:r>
          </w:p>
          <w:p w14:paraId="378E6D3F" w14:textId="77777777" w:rsidR="006616ED" w:rsidRDefault="006616ED" w:rsidP="00F27D80"/>
          <w:p w14:paraId="5D6ED1D7" w14:textId="31D9B3F7" w:rsidR="006616ED" w:rsidRDefault="006616ED" w:rsidP="00F27D80">
            <w:r>
              <w:t>Support staff --- 20%</w:t>
            </w:r>
          </w:p>
          <w:p w14:paraId="4842861E" w14:textId="77777777" w:rsidR="006616ED" w:rsidRDefault="006616ED" w:rsidP="00F27D80"/>
          <w:p w14:paraId="2F892F09" w14:textId="02D3629F" w:rsidR="006616ED" w:rsidRDefault="006616ED" w:rsidP="00F27D80">
            <w:r>
              <w:t>Direct teaching staff – 60%</w:t>
            </w:r>
          </w:p>
        </w:tc>
        <w:tc>
          <w:tcPr>
            <w:tcW w:w="3505" w:type="dxa"/>
          </w:tcPr>
          <w:p w14:paraId="07879837" w14:textId="77777777" w:rsidR="006616ED" w:rsidRDefault="006616ED" w:rsidP="006616ED">
            <w:r>
              <w:t>--Review Operations process and practices to ensure the program is operating efficiently (benefitting from automation when possible)</w:t>
            </w:r>
          </w:p>
          <w:p w14:paraId="77E72EC6" w14:textId="77777777" w:rsidR="006616ED" w:rsidRDefault="006616ED" w:rsidP="006616ED"/>
          <w:p w14:paraId="7AFA55FE" w14:textId="77777777" w:rsidR="006616ED" w:rsidRDefault="006616ED" w:rsidP="006616ED">
            <w:r>
              <w:t>--Review Organizational Chart/Job Descriptions to identify opportunities to streamline and reduce the number of non-program staff</w:t>
            </w:r>
          </w:p>
          <w:p w14:paraId="70C1D90C" w14:textId="77777777" w:rsidR="006616ED" w:rsidRDefault="006616ED" w:rsidP="006616ED">
            <w:r>
              <w:t xml:space="preserve"> </w:t>
            </w:r>
          </w:p>
          <w:p w14:paraId="57B0913A" w14:textId="77777777" w:rsidR="006616ED" w:rsidRDefault="006616ED" w:rsidP="006616ED">
            <w:r>
              <w:t>--Design and implement compensation initiative for direct staff that does the following:</w:t>
            </w:r>
          </w:p>
          <w:p w14:paraId="2BC03F41" w14:textId="77777777" w:rsidR="006616ED" w:rsidRDefault="006616ED" w:rsidP="006616ED">
            <w:r>
              <w:t xml:space="preserve">   --ensures internal and external parity with comparable positions</w:t>
            </w:r>
          </w:p>
          <w:p w14:paraId="1FC160F3" w14:textId="09476AA5" w:rsidR="006616ED" w:rsidRDefault="006616ED" w:rsidP="006616ED">
            <w:r>
              <w:t xml:space="preserve">   --creates opportunities for teachers to have “time off the floor” for planning and reflective practice</w:t>
            </w:r>
          </w:p>
        </w:tc>
      </w:tr>
    </w:tbl>
    <w:p w14:paraId="5C985310" w14:textId="77777777" w:rsidR="00C05D2F" w:rsidRDefault="00C05D2F">
      <w:r>
        <w:br w:type="page"/>
      </w:r>
    </w:p>
    <w:tbl>
      <w:tblPr>
        <w:tblStyle w:val="TableGrid"/>
        <w:tblpPr w:leftFromText="187" w:rightFromText="187" w:vertAnchor="page" w:horzAnchor="margin" w:tblpX="-95" w:tblpYSpec="center"/>
        <w:tblW w:w="13045" w:type="dxa"/>
        <w:tblLook w:val="04A0" w:firstRow="1" w:lastRow="0" w:firstColumn="1" w:lastColumn="0" w:noHBand="0" w:noVBand="1"/>
      </w:tblPr>
      <w:tblGrid>
        <w:gridCol w:w="3468"/>
        <w:gridCol w:w="3438"/>
        <w:gridCol w:w="3203"/>
        <w:gridCol w:w="2936"/>
      </w:tblGrid>
      <w:tr w:rsidR="00C05D2F" w14:paraId="53DDF4CC" w14:textId="77777777" w:rsidTr="007A4A55">
        <w:tc>
          <w:tcPr>
            <w:tcW w:w="3468" w:type="dxa"/>
            <w:shd w:val="clear" w:color="auto" w:fill="D0CECE" w:themeFill="background2" w:themeFillShade="E6"/>
          </w:tcPr>
          <w:p w14:paraId="5AB769A6" w14:textId="77777777" w:rsidR="00C05D2F" w:rsidRPr="008522E2" w:rsidRDefault="00C05D2F" w:rsidP="007A4A55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D0CECE" w:themeFill="background2" w:themeFillShade="E6"/>
          </w:tcPr>
          <w:p w14:paraId="495CE12B" w14:textId="77777777" w:rsidR="00C05D2F" w:rsidRDefault="00C05D2F" w:rsidP="007A4A55"/>
        </w:tc>
        <w:tc>
          <w:tcPr>
            <w:tcW w:w="3203" w:type="dxa"/>
            <w:shd w:val="clear" w:color="auto" w:fill="D0CECE" w:themeFill="background2" w:themeFillShade="E6"/>
          </w:tcPr>
          <w:p w14:paraId="0B36FCA0" w14:textId="77777777" w:rsidR="00C05D2F" w:rsidRDefault="00C05D2F" w:rsidP="007A4A55"/>
        </w:tc>
        <w:tc>
          <w:tcPr>
            <w:tcW w:w="2936" w:type="dxa"/>
            <w:shd w:val="clear" w:color="auto" w:fill="D0CECE" w:themeFill="background2" w:themeFillShade="E6"/>
          </w:tcPr>
          <w:p w14:paraId="57863CF9" w14:textId="77777777" w:rsidR="00C05D2F" w:rsidRDefault="00C05D2F" w:rsidP="007A4A55"/>
        </w:tc>
      </w:tr>
      <w:tr w:rsidR="006616ED" w14:paraId="6C8C2765" w14:textId="77777777" w:rsidTr="007A4A55">
        <w:tc>
          <w:tcPr>
            <w:tcW w:w="3468" w:type="dxa"/>
          </w:tcPr>
          <w:p w14:paraId="050515DF" w14:textId="77777777" w:rsidR="006616ED" w:rsidRPr="006616ED" w:rsidRDefault="006616ED" w:rsidP="007A4A55">
            <w:pPr>
              <w:rPr>
                <w:b/>
                <w:sz w:val="28"/>
                <w:szCs w:val="24"/>
                <w:u w:val="single"/>
              </w:rPr>
            </w:pPr>
            <w:r w:rsidRPr="006616ED">
              <w:rPr>
                <w:b/>
                <w:sz w:val="28"/>
                <w:szCs w:val="24"/>
                <w:u w:val="single"/>
              </w:rPr>
              <w:t>Enrollment by Classroom and Site:</w:t>
            </w:r>
          </w:p>
          <w:p w14:paraId="77A31F22" w14:textId="77777777" w:rsidR="006616ED" w:rsidRDefault="006616ED" w:rsidP="007A4A55">
            <w:r>
              <w:t>This metric measures how fully enrolled each classroom is as a percentage of “staffed capacity”</w:t>
            </w:r>
          </w:p>
          <w:p w14:paraId="1EF04BA7" w14:textId="77777777" w:rsidR="006616ED" w:rsidRDefault="006616ED" w:rsidP="007A4A55"/>
          <w:p w14:paraId="5715A7FF" w14:textId="77777777" w:rsidR="006616ED" w:rsidRDefault="006616ED" w:rsidP="007A4A55">
            <w:r>
              <w:rPr>
                <w:b/>
              </w:rPr>
              <w:t xml:space="preserve">Rationale: </w:t>
            </w:r>
            <w:r>
              <w:t xml:space="preserve"> Programs must remain fully enrolled in order to be financially viable – empty seats = lost revenue</w:t>
            </w:r>
          </w:p>
          <w:p w14:paraId="0673C7B4" w14:textId="77777777" w:rsidR="006616ED" w:rsidRDefault="006616ED" w:rsidP="007A4A55"/>
          <w:p w14:paraId="2F24C4BC" w14:textId="22C0F492" w:rsidR="006616ED" w:rsidRPr="006A27C0" w:rsidRDefault="006616ED" w:rsidP="007A4A55">
            <w:r>
              <w:rPr>
                <w:b/>
              </w:rPr>
              <w:t xml:space="preserve">Goal: </w:t>
            </w:r>
            <w:r>
              <w:t>No classroom below 90% enrollment</w:t>
            </w:r>
          </w:p>
        </w:tc>
        <w:tc>
          <w:tcPr>
            <w:tcW w:w="3438" w:type="dxa"/>
          </w:tcPr>
          <w:p w14:paraId="1C7AD2BB" w14:textId="0B526FC0" w:rsidR="006616ED" w:rsidRDefault="006616ED" w:rsidP="007A4A5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CD1B314" wp14:editId="1053269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274320</wp:posOffset>
                  </wp:positionV>
                  <wp:extent cx="2045335" cy="1786255"/>
                  <wp:effectExtent l="0" t="0" r="0" b="4445"/>
                  <wp:wrapThrough wrapText="bothSides">
                    <wp:wrapPolygon edited="0">
                      <wp:start x="0" y="0"/>
                      <wp:lineTo x="0" y="21500"/>
                      <wp:lineTo x="21459" y="21500"/>
                      <wp:lineTo x="214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3" w:type="dxa"/>
            <w:vAlign w:val="center"/>
          </w:tcPr>
          <w:p w14:paraId="2EF312EC" w14:textId="77777777" w:rsidR="006616ED" w:rsidRDefault="006616ED" w:rsidP="007A4A55"/>
          <w:p w14:paraId="4457D3E0" w14:textId="61EA1F08" w:rsidR="006616ED" w:rsidRDefault="006616ED" w:rsidP="007A4A55">
            <w:r>
              <w:t>--Average enrollment rate of 90%</w:t>
            </w:r>
          </w:p>
          <w:p w14:paraId="6DB563AC" w14:textId="77777777" w:rsidR="006616ED" w:rsidRDefault="006616ED" w:rsidP="007A4A55"/>
          <w:p w14:paraId="5F6D5EAE" w14:textId="0BFF72F7" w:rsidR="006616ED" w:rsidRDefault="006616ED" w:rsidP="007A4A55">
            <w:r>
              <w:t>--Time to fill slot &gt;10 days</w:t>
            </w:r>
          </w:p>
        </w:tc>
        <w:tc>
          <w:tcPr>
            <w:tcW w:w="2936" w:type="dxa"/>
          </w:tcPr>
          <w:p w14:paraId="3CE26CCA" w14:textId="77777777" w:rsidR="006616ED" w:rsidRDefault="006616ED" w:rsidP="007A4A55"/>
          <w:p w14:paraId="01D62EA1" w14:textId="3A3C785D" w:rsidR="006616ED" w:rsidRDefault="006616ED" w:rsidP="007A4A55">
            <w:r>
              <w:t>--Marketing effort (describe work to be done)</w:t>
            </w:r>
          </w:p>
          <w:p w14:paraId="10C77BCE" w14:textId="77777777" w:rsidR="006616ED" w:rsidRDefault="006616ED" w:rsidP="007A4A55">
            <w:r>
              <w:t xml:space="preserve">  --“bonus for finding a family that enrolls”</w:t>
            </w:r>
          </w:p>
          <w:p w14:paraId="4FE552D9" w14:textId="1EBA94D3" w:rsidR="006616ED" w:rsidRDefault="006616ED" w:rsidP="007A4A55">
            <w:r>
              <w:t xml:space="preserve">  --Create a Facebook page for the program for advertising, etc.…</w:t>
            </w:r>
          </w:p>
          <w:p w14:paraId="4E1F867C" w14:textId="77777777" w:rsidR="006616ED" w:rsidRDefault="006616ED" w:rsidP="007A4A55">
            <w:r>
              <w:t>--Reassigning classrooms and consolidating so that classrooms are full</w:t>
            </w:r>
          </w:p>
          <w:p w14:paraId="2A773517" w14:textId="77777777" w:rsidR="006616ED" w:rsidRDefault="006616ED" w:rsidP="007A4A55">
            <w:r>
              <w:t>--mixed aged groupings, etc.…</w:t>
            </w:r>
          </w:p>
          <w:p w14:paraId="2BA8247A" w14:textId="77777777" w:rsidR="006616ED" w:rsidRDefault="006616ED" w:rsidP="007A4A55"/>
        </w:tc>
      </w:tr>
      <w:tr w:rsidR="00C05D2F" w14:paraId="0B54BF1F" w14:textId="77777777" w:rsidTr="007A4A55">
        <w:tc>
          <w:tcPr>
            <w:tcW w:w="3468" w:type="dxa"/>
            <w:shd w:val="clear" w:color="auto" w:fill="D0CECE" w:themeFill="background2" w:themeFillShade="E6"/>
          </w:tcPr>
          <w:p w14:paraId="76AF8407" w14:textId="77777777" w:rsidR="00C05D2F" w:rsidRDefault="00C05D2F" w:rsidP="007A4A55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D0CECE" w:themeFill="background2" w:themeFillShade="E6"/>
          </w:tcPr>
          <w:p w14:paraId="4668E852" w14:textId="77777777" w:rsidR="00C05D2F" w:rsidRDefault="00C05D2F" w:rsidP="007A4A55"/>
        </w:tc>
        <w:tc>
          <w:tcPr>
            <w:tcW w:w="3203" w:type="dxa"/>
            <w:shd w:val="clear" w:color="auto" w:fill="D0CECE" w:themeFill="background2" w:themeFillShade="E6"/>
          </w:tcPr>
          <w:p w14:paraId="41A55B4B" w14:textId="77777777" w:rsidR="00C05D2F" w:rsidRDefault="00C05D2F" w:rsidP="007A4A55"/>
        </w:tc>
        <w:tc>
          <w:tcPr>
            <w:tcW w:w="2936" w:type="dxa"/>
            <w:shd w:val="clear" w:color="auto" w:fill="D0CECE" w:themeFill="background2" w:themeFillShade="E6"/>
          </w:tcPr>
          <w:p w14:paraId="7FAC2D59" w14:textId="77777777" w:rsidR="00C05D2F" w:rsidRDefault="00C05D2F" w:rsidP="007A4A55"/>
        </w:tc>
      </w:tr>
      <w:tr w:rsidR="006616ED" w14:paraId="2566A53B" w14:textId="77777777" w:rsidTr="007A4A55">
        <w:tc>
          <w:tcPr>
            <w:tcW w:w="3468" w:type="dxa"/>
          </w:tcPr>
          <w:p w14:paraId="1A76C306" w14:textId="77777777" w:rsidR="006616ED" w:rsidRPr="007A4A55" w:rsidRDefault="007A4A55" w:rsidP="007A4A55">
            <w:pPr>
              <w:rPr>
                <w:b/>
                <w:bCs/>
                <w:sz w:val="28"/>
                <w:szCs w:val="24"/>
                <w:u w:val="single"/>
              </w:rPr>
            </w:pPr>
            <w:r w:rsidRPr="007A4A55">
              <w:rPr>
                <w:b/>
                <w:bCs/>
                <w:sz w:val="28"/>
                <w:szCs w:val="24"/>
                <w:u w:val="single"/>
              </w:rPr>
              <w:t>Collection Rate/Bad Debt:</w:t>
            </w:r>
          </w:p>
          <w:p w14:paraId="7D8D0B8B" w14:textId="4F3F2477" w:rsidR="007A4A55" w:rsidRDefault="007A4A55" w:rsidP="007A4A55">
            <w:r>
              <w:t>How much of revenue owed is actually received by the organization? How much revenue is collected on time? How much is written off as “non-collectable”?</w:t>
            </w:r>
          </w:p>
          <w:p w14:paraId="679AD6C4" w14:textId="77777777" w:rsidR="007A4A55" w:rsidRDefault="007A4A55" w:rsidP="007A4A55"/>
          <w:p w14:paraId="26907C5E" w14:textId="77777777" w:rsidR="007A4A55" w:rsidRDefault="007A4A55" w:rsidP="007A4A55">
            <w:r w:rsidRPr="007A4A55">
              <w:rPr>
                <w:b/>
                <w:bCs/>
              </w:rPr>
              <w:t>Rationale</w:t>
            </w:r>
            <w:r>
              <w:t>: Many providers find it difficult to collect funds from families facing hardships and/or being fully reimbursed for cc subsidy services</w:t>
            </w:r>
          </w:p>
          <w:p w14:paraId="6A4AAC64" w14:textId="77777777" w:rsidR="007A4A55" w:rsidRDefault="007A4A55" w:rsidP="007A4A55"/>
          <w:p w14:paraId="08F1D4E7" w14:textId="09B7C703" w:rsidR="007A4A55" w:rsidRPr="00C2165D" w:rsidRDefault="007A4A55" w:rsidP="007A4A55">
            <w:r w:rsidRPr="007A4A55">
              <w:rPr>
                <w:b/>
                <w:bCs/>
              </w:rPr>
              <w:t>Goal</w:t>
            </w:r>
            <w:r>
              <w:t>: 100% Collection Rate</w:t>
            </w:r>
          </w:p>
        </w:tc>
        <w:tc>
          <w:tcPr>
            <w:tcW w:w="3438" w:type="dxa"/>
          </w:tcPr>
          <w:p w14:paraId="40814C07" w14:textId="77777777" w:rsidR="006616ED" w:rsidRDefault="006616ED" w:rsidP="007A4A55"/>
        </w:tc>
        <w:tc>
          <w:tcPr>
            <w:tcW w:w="3203" w:type="dxa"/>
          </w:tcPr>
          <w:p w14:paraId="3B4E8588" w14:textId="77777777" w:rsidR="006616ED" w:rsidRDefault="006616ED" w:rsidP="007A4A55"/>
        </w:tc>
        <w:tc>
          <w:tcPr>
            <w:tcW w:w="2936" w:type="dxa"/>
          </w:tcPr>
          <w:p w14:paraId="4E6575D7" w14:textId="77777777" w:rsidR="006616ED" w:rsidRDefault="006616ED" w:rsidP="007A4A55"/>
        </w:tc>
      </w:tr>
      <w:tr w:rsidR="006616ED" w14:paraId="1375E61C" w14:textId="77777777" w:rsidTr="007A4A55">
        <w:trPr>
          <w:trHeight w:val="629"/>
        </w:trPr>
        <w:tc>
          <w:tcPr>
            <w:tcW w:w="3468" w:type="dxa"/>
            <w:shd w:val="clear" w:color="auto" w:fill="D9D9D9" w:themeFill="background1" w:themeFillShade="D9"/>
          </w:tcPr>
          <w:p w14:paraId="6DDD8007" w14:textId="100ADF68" w:rsidR="006616ED" w:rsidRPr="00C2165D" w:rsidRDefault="006616ED" w:rsidP="007A4A55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D9D9D9" w:themeFill="background1" w:themeFillShade="D9"/>
          </w:tcPr>
          <w:p w14:paraId="65858434" w14:textId="77777777" w:rsidR="006616ED" w:rsidRDefault="006616ED" w:rsidP="007A4A55"/>
        </w:tc>
        <w:tc>
          <w:tcPr>
            <w:tcW w:w="3203" w:type="dxa"/>
            <w:shd w:val="clear" w:color="auto" w:fill="D9D9D9" w:themeFill="background1" w:themeFillShade="D9"/>
          </w:tcPr>
          <w:p w14:paraId="4E2D9BE0" w14:textId="77777777" w:rsidR="006616ED" w:rsidRDefault="006616ED" w:rsidP="007A4A55"/>
        </w:tc>
        <w:tc>
          <w:tcPr>
            <w:tcW w:w="2936" w:type="dxa"/>
            <w:shd w:val="clear" w:color="auto" w:fill="D9D9D9" w:themeFill="background1" w:themeFillShade="D9"/>
          </w:tcPr>
          <w:p w14:paraId="46C1CA2C" w14:textId="77777777" w:rsidR="006616ED" w:rsidRDefault="006616ED" w:rsidP="007A4A55"/>
        </w:tc>
      </w:tr>
      <w:tr w:rsidR="007A4A55" w14:paraId="7142C15A" w14:textId="77777777" w:rsidTr="007A4A55">
        <w:tc>
          <w:tcPr>
            <w:tcW w:w="3468" w:type="dxa"/>
          </w:tcPr>
          <w:p w14:paraId="0EABAEA8" w14:textId="3FAAD918" w:rsidR="007A4A55" w:rsidRDefault="007A4A55" w:rsidP="007A4A55">
            <w:pPr>
              <w:rPr>
                <w:sz w:val="28"/>
                <w:szCs w:val="24"/>
              </w:rPr>
            </w:pPr>
            <w:r w:rsidRPr="006616ED">
              <w:rPr>
                <w:b/>
                <w:sz w:val="28"/>
                <w:szCs w:val="24"/>
                <w:u w:val="single"/>
              </w:rPr>
              <w:lastRenderedPageBreak/>
              <w:t>Cost per Child/Revenue Gap:</w:t>
            </w:r>
            <w:r w:rsidRPr="006616ED">
              <w:rPr>
                <w:sz w:val="28"/>
                <w:szCs w:val="24"/>
              </w:rPr>
              <w:t xml:space="preserve"> </w:t>
            </w:r>
          </w:p>
          <w:p w14:paraId="6B5808DE" w14:textId="77777777" w:rsidR="007A4A55" w:rsidRDefault="007A4A55" w:rsidP="007A4A55">
            <w:r>
              <w:t>Understanding the true cost of care by age group/site; comparing the cost with the actual operating revenue that is secured by the program</w:t>
            </w:r>
          </w:p>
          <w:p w14:paraId="2B592270" w14:textId="77777777" w:rsidR="007A4A55" w:rsidRDefault="007A4A55" w:rsidP="007A4A55"/>
          <w:p w14:paraId="158AEAD9" w14:textId="77777777" w:rsidR="007A4A55" w:rsidRDefault="007A4A55" w:rsidP="007A4A55">
            <w:r w:rsidRPr="006616ED">
              <w:rPr>
                <w:b/>
                <w:bCs/>
              </w:rPr>
              <w:t>Rationale</w:t>
            </w:r>
            <w:r>
              <w:t>: A sign of fiscal health is when a program is able to identify operating revenue to meet (or come close) to the actual cost of care; too heavy reliance on philanthropic fundraising will undermine a program’s sustainability because it relies too heavily on successful fundraising work rather than fee for service</w:t>
            </w:r>
          </w:p>
          <w:p w14:paraId="0D60373D" w14:textId="77777777" w:rsidR="007A4A55" w:rsidRDefault="007A4A55" w:rsidP="007A4A55"/>
          <w:p w14:paraId="3F33DFAC" w14:textId="77777777" w:rsidR="007A4A55" w:rsidRDefault="007A4A55" w:rsidP="007A4A55">
            <w:r w:rsidRPr="00C2165D">
              <w:rPr>
                <w:b/>
              </w:rPr>
              <w:t xml:space="preserve">Goal: </w:t>
            </w:r>
            <w:r w:rsidRPr="00C2165D">
              <w:t>At least</w:t>
            </w:r>
            <w:r>
              <w:t xml:space="preserve"> 80% of the cost of care is raised through sustainable core operating funds</w:t>
            </w:r>
          </w:p>
          <w:p w14:paraId="4418B262" w14:textId="77777777" w:rsidR="007A4A55" w:rsidRDefault="007A4A55" w:rsidP="007A4A55"/>
          <w:p w14:paraId="02803ED5" w14:textId="77777777" w:rsidR="007A4A55" w:rsidRPr="00C05D2F" w:rsidRDefault="007A4A55" w:rsidP="007A4A55"/>
        </w:tc>
        <w:tc>
          <w:tcPr>
            <w:tcW w:w="3438" w:type="dxa"/>
          </w:tcPr>
          <w:p w14:paraId="0CF73412" w14:textId="77777777" w:rsidR="007A4A55" w:rsidRDefault="007A4A55" w:rsidP="007A4A55">
            <w:pPr>
              <w:jc w:val="center"/>
            </w:pPr>
          </w:p>
        </w:tc>
        <w:tc>
          <w:tcPr>
            <w:tcW w:w="3203" w:type="dxa"/>
          </w:tcPr>
          <w:p w14:paraId="02953CFC" w14:textId="77777777" w:rsidR="007A4A55" w:rsidRDefault="007A4A55" w:rsidP="007A4A55"/>
        </w:tc>
        <w:tc>
          <w:tcPr>
            <w:tcW w:w="2936" w:type="dxa"/>
          </w:tcPr>
          <w:p w14:paraId="32513A9F" w14:textId="77777777" w:rsidR="007A4A55" w:rsidRDefault="007A4A55" w:rsidP="007A4A55"/>
        </w:tc>
      </w:tr>
    </w:tbl>
    <w:p w14:paraId="4ED64D8A" w14:textId="77777777" w:rsidR="00843295" w:rsidRPr="00CC39C1" w:rsidRDefault="00843295" w:rsidP="00C05D2F">
      <w:pPr>
        <w:jc w:val="center"/>
        <w:rPr>
          <w:b/>
          <w:sz w:val="32"/>
        </w:rPr>
      </w:pPr>
    </w:p>
    <w:sectPr w:rsidR="00843295" w:rsidRPr="00CC39C1" w:rsidSect="007A4A55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C365" w14:textId="77777777" w:rsidR="005F067B" w:rsidRDefault="005F067B" w:rsidP="00C05D2F">
      <w:r>
        <w:separator/>
      </w:r>
    </w:p>
  </w:endnote>
  <w:endnote w:type="continuationSeparator" w:id="0">
    <w:p w14:paraId="3F69D0C4" w14:textId="77777777" w:rsidR="005F067B" w:rsidRDefault="005F067B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21AD" w14:textId="46A69F13" w:rsidR="00110E40" w:rsidRDefault="00110E40">
    <w:pPr>
      <w:pStyle w:val="Footer"/>
    </w:pPr>
    <w:r>
      <w:t>© Opportunities Exchange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D253" w14:textId="77777777" w:rsidR="005F067B" w:rsidRDefault="005F067B" w:rsidP="00C05D2F">
      <w:r>
        <w:separator/>
      </w:r>
    </w:p>
  </w:footnote>
  <w:footnote w:type="continuationSeparator" w:id="0">
    <w:p w14:paraId="5A97D0B4" w14:textId="77777777" w:rsidR="005F067B" w:rsidRDefault="005F067B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54D4D2D0EBE1B4C93EB18ED34668A0D"/>
      </w:placeholder>
      <w:temporary/>
      <w:showingPlcHdr/>
      <w15:appearance w15:val="hidden"/>
    </w:sdtPr>
    <w:sdtContent>
      <w:p w14:paraId="036F3319" w14:textId="77777777" w:rsidR="00110E40" w:rsidRDefault="00110E40">
        <w:pPr>
          <w:pStyle w:val="Header"/>
        </w:pPr>
        <w:r>
          <w:t>[Type here]</w:t>
        </w:r>
      </w:p>
    </w:sdtContent>
  </w:sdt>
  <w:p w14:paraId="777D9AB6" w14:textId="77777777" w:rsidR="00C05D2F" w:rsidRDefault="00C0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D0"/>
    <w:multiLevelType w:val="hybridMultilevel"/>
    <w:tmpl w:val="7C4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DB3"/>
    <w:multiLevelType w:val="hybridMultilevel"/>
    <w:tmpl w:val="3AD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49501">
    <w:abstractNumId w:val="0"/>
  </w:num>
  <w:num w:numId="2" w16cid:durableId="141551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C1"/>
    <w:rsid w:val="000148A7"/>
    <w:rsid w:val="00110E40"/>
    <w:rsid w:val="001405B8"/>
    <w:rsid w:val="001D4C4C"/>
    <w:rsid w:val="00321663"/>
    <w:rsid w:val="00513483"/>
    <w:rsid w:val="005B57CC"/>
    <w:rsid w:val="005E0FA7"/>
    <w:rsid w:val="005F067B"/>
    <w:rsid w:val="006616ED"/>
    <w:rsid w:val="006A27C0"/>
    <w:rsid w:val="006E13CE"/>
    <w:rsid w:val="007A4A55"/>
    <w:rsid w:val="00843295"/>
    <w:rsid w:val="008522E2"/>
    <w:rsid w:val="00864D70"/>
    <w:rsid w:val="00C05D2F"/>
    <w:rsid w:val="00C2165D"/>
    <w:rsid w:val="00C873A0"/>
    <w:rsid w:val="00CC39C1"/>
    <w:rsid w:val="00F27D80"/>
    <w:rsid w:val="00F4073D"/>
    <w:rsid w:val="00FB6062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5DE1"/>
  <w15:chartTrackingRefBased/>
  <w15:docId w15:val="{2F4A6260-3084-4381-AD1C-910525B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2F"/>
  </w:style>
  <w:style w:type="paragraph" w:styleId="Footer">
    <w:name w:val="footer"/>
    <w:basedOn w:val="Normal"/>
    <w:link w:val="FooterChar"/>
    <w:uiPriority w:val="99"/>
    <w:unhideWhenUsed/>
    <w:rsid w:val="00C0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D4D2D0EBE1B4C93EB18ED3466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7BAA-5913-604F-AA59-C4318C3EA43D}"/>
      </w:docPartPr>
      <w:docPartBody>
        <w:p w:rsidR="00000000" w:rsidRDefault="00764CFC" w:rsidP="00764CFC">
          <w:pPr>
            <w:pStyle w:val="A54D4D2D0EBE1B4C93EB18ED34668A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FC"/>
    <w:rsid w:val="00764CFC"/>
    <w:rsid w:val="007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D4D2D0EBE1B4C93EB18ED34668A0D">
    <w:name w:val="A54D4D2D0EBE1B4C93EB18ED34668A0D"/>
    <w:rsid w:val="0076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Easterling</dc:creator>
  <cp:keywords/>
  <dc:description/>
  <cp:lastModifiedBy>Sharon Easterling</cp:lastModifiedBy>
  <cp:revision>2</cp:revision>
  <dcterms:created xsi:type="dcterms:W3CDTF">2023-02-16T22:36:00Z</dcterms:created>
  <dcterms:modified xsi:type="dcterms:W3CDTF">2023-02-16T22:36:00Z</dcterms:modified>
</cp:coreProperties>
</file>